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3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0340"/>
        <w:gridCol w:w="4640"/>
        <w:gridCol w:w="5715"/>
      </w:tblGrid>
      <w:tr w:rsidR="00F26302" w:rsidRPr="006807D8" w:rsidTr="00910D8D">
        <w:trPr>
          <w:trHeight w:val="2202"/>
        </w:trPr>
        <w:tc>
          <w:tcPr>
            <w:tcW w:w="4112" w:type="dxa"/>
          </w:tcPr>
          <w:p w:rsidR="00F26302" w:rsidRPr="006807D8" w:rsidRDefault="00F26302" w:rsidP="00910D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F26302" w:rsidRPr="006807D8" w:rsidRDefault="00F26302" w:rsidP="0091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6302" w:rsidRPr="006807D8" w:rsidRDefault="00F26302" w:rsidP="00910D8D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F26302" w:rsidRPr="006807D8" w:rsidRDefault="00F26302" w:rsidP="00910D8D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СТАРОЗЮРИНСКОГО</w:t>
            </w:r>
          </w:p>
          <w:p w:rsidR="00F26302" w:rsidRPr="006807D8" w:rsidRDefault="00F26302" w:rsidP="0091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26302" w:rsidRPr="006807D8" w:rsidRDefault="00F26302" w:rsidP="00910D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ТЮЛЯЧИНСКОГО</w:t>
            </w:r>
          </w:p>
          <w:p w:rsidR="00F26302" w:rsidRPr="006807D8" w:rsidRDefault="00F26302" w:rsidP="00910D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F26302" w:rsidRPr="006807D8" w:rsidRDefault="00F26302" w:rsidP="0091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Школьная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1А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Старые Зюри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4220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6302" w:rsidRPr="006807D8" w:rsidRDefault="00F26302" w:rsidP="0091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(факс): (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843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60)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6302" w:rsidRPr="006807D8" w:rsidRDefault="00F26302" w:rsidP="0091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E-mail: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"mailto:Szur.Tul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instrText>@tatar.ru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Szur.Tul</w:t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@tatar.ru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F26302" w:rsidRPr="006807D8" w:rsidRDefault="00F26302" w:rsidP="00910D8D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F26302" w:rsidRPr="006807D8" w:rsidRDefault="00F26302" w:rsidP="00910D8D">
            <w:pPr>
              <w:spacing w:after="0" w:line="240" w:lineRule="auto"/>
              <w:ind w:left="269" w:hanging="411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E5CCD2" wp14:editId="5AEF5D58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0" w:type="dxa"/>
          </w:tcPr>
          <w:p w:rsidR="00F26302" w:rsidRPr="006807D8" w:rsidRDefault="00F26302" w:rsidP="00910D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</w:t>
            </w:r>
          </w:p>
          <w:p w:rsidR="00F26302" w:rsidRPr="006807D8" w:rsidRDefault="00F26302" w:rsidP="00910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6302" w:rsidRPr="006807D8" w:rsidRDefault="00F26302" w:rsidP="00910D8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</w:p>
          <w:p w:rsidR="00F26302" w:rsidRPr="006807D8" w:rsidRDefault="00F26302" w:rsidP="00910D8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СТАРОЗЮРИНСКОГО</w:t>
            </w:r>
          </w:p>
          <w:p w:rsidR="00F26302" w:rsidRPr="006807D8" w:rsidRDefault="00F26302" w:rsidP="00910D8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F26302" w:rsidRPr="006807D8" w:rsidRDefault="00F26302" w:rsidP="00910D8D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ТЮЛЯЧИНСКОГО</w:t>
            </w:r>
          </w:p>
          <w:p w:rsidR="00F26302" w:rsidRPr="006807D8" w:rsidRDefault="00F26302" w:rsidP="00910D8D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F26302" w:rsidRPr="006807D8" w:rsidRDefault="00F26302" w:rsidP="00910D8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Школьная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1А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Старые Зюри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6302" w:rsidRPr="006807D8" w:rsidRDefault="00F26302" w:rsidP="00910D8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4220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26302" w:rsidRPr="006807D8" w:rsidRDefault="00F26302" w:rsidP="00910D8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тел. (факс): (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843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60)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52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6302" w:rsidRPr="006807D8" w:rsidRDefault="00F26302" w:rsidP="00910D8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E-mail: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HYPERLINK "mailto:Szur.Tul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instrText>@tatar.ru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Szur.Tul</w:t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tt-RU"/>
              </w:rPr>
              <w:t>@tatar.ru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355" w:type="dxa"/>
            <w:gridSpan w:val="2"/>
          </w:tcPr>
          <w:p w:rsidR="00F26302" w:rsidRPr="006807D8" w:rsidRDefault="00F26302" w:rsidP="00910D8D">
            <w:pPr>
              <w:spacing w:after="0" w:line="240" w:lineRule="auto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  <w:lang w:val="en-US"/>
              </w:rPr>
            </w:pPr>
          </w:p>
          <w:p w:rsidR="00F26302" w:rsidRPr="006807D8" w:rsidRDefault="00F26302" w:rsidP="00910D8D">
            <w:pPr>
              <w:spacing w:after="0" w:line="240" w:lineRule="auto"/>
              <w:ind w:left="-142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</w:rPr>
            </w:pPr>
            <w:r w:rsidRPr="006807D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DCD6A1" wp14:editId="5222BA46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2" w:rsidRPr="006807D8" w:rsidTr="00910D8D">
        <w:trPr>
          <w:gridAfter w:val="1"/>
          <w:wAfter w:w="5715" w:type="dxa"/>
          <w:trHeight w:val="214"/>
        </w:trPr>
        <w:tc>
          <w:tcPr>
            <w:tcW w:w="2065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6302" w:rsidRPr="006807D8" w:rsidRDefault="00F26302" w:rsidP="0091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F26302" w:rsidRPr="006807D8" w:rsidRDefault="00F26302" w:rsidP="0091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94319624  ОГРН 1021607156504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0640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F26302" w:rsidRPr="006807D8" w:rsidTr="00910D8D">
        <w:trPr>
          <w:gridAfter w:val="1"/>
          <w:wAfter w:w="5715" w:type="dxa"/>
          <w:trHeight w:val="1004"/>
        </w:trPr>
        <w:tc>
          <w:tcPr>
            <w:tcW w:w="206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26302" w:rsidRPr="006807D8" w:rsidRDefault="00F26302" w:rsidP="00910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831"/>
            </w:tblGrid>
            <w:tr w:rsidR="00F26302" w:rsidRPr="006807D8" w:rsidTr="00910D8D">
              <w:tc>
                <w:tcPr>
                  <w:tcW w:w="3419" w:type="dxa"/>
                </w:tcPr>
                <w:p w:rsidR="00F26302" w:rsidRPr="006807D8" w:rsidRDefault="00F26302" w:rsidP="0091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F26302" w:rsidRPr="006807D8" w:rsidRDefault="00F26302" w:rsidP="00910D8D">
                  <w:pPr>
                    <w:tabs>
                      <w:tab w:val="left" w:pos="0"/>
                    </w:tabs>
                    <w:spacing w:after="0" w:line="240" w:lineRule="auto"/>
                    <w:ind w:left="-216" w:firstLine="142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u w:val="single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</w:p>
              </w:tc>
              <w:tc>
                <w:tcPr>
                  <w:tcW w:w="2848" w:type="dxa"/>
                </w:tcPr>
                <w:p w:rsidR="00F26302" w:rsidRPr="006807D8" w:rsidRDefault="00F26302" w:rsidP="00910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831" w:type="dxa"/>
                </w:tcPr>
                <w:p w:rsidR="00F26302" w:rsidRDefault="00F26302" w:rsidP="00910D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КАРАР      </w:t>
                  </w:r>
                </w:p>
                <w:p w:rsidR="00F26302" w:rsidRPr="006807D8" w:rsidRDefault="00F26302" w:rsidP="00910D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920C0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 w:rsidR="00920C0F" w:rsidRPr="00920C0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26</w:t>
                  </w:r>
                  <w:r w:rsidRPr="00920C0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»  </w:t>
                  </w:r>
                  <w:r w:rsidR="00042E6A" w:rsidRPr="00042E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январь </w:t>
                  </w:r>
                  <w:r w:rsidRPr="00042E6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</w:t>
                  </w:r>
                  <w:r w:rsidR="00042E6A" w:rsidRPr="00042E6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8</w:t>
                  </w:r>
                  <w:r w:rsidRPr="00042E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г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</w:t>
                  </w:r>
                </w:p>
                <w:p w:rsidR="00F26302" w:rsidRPr="006807D8" w:rsidRDefault="00F26302" w:rsidP="00910D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F26302" w:rsidRPr="00C86FEE" w:rsidRDefault="00F26302" w:rsidP="00910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</w:tr>
    </w:tbl>
    <w:p w:rsidR="005E1F3C" w:rsidRPr="005E1F3C" w:rsidRDefault="005E1F3C" w:rsidP="005E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мероприятий по профилактики терроризма и экстремизма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Старозюринском</w:t>
      </w:r>
      <w:proofErr w:type="spellEnd"/>
      <w:r w:rsidRPr="005E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 на 2018 год.</w:t>
      </w:r>
    </w:p>
    <w:p w:rsidR="005E1F3C" w:rsidRPr="005E1F3C" w:rsidRDefault="005E1F3C" w:rsidP="005E1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3C" w:rsidRPr="005E1F3C" w:rsidRDefault="005E1F3C" w:rsidP="005E1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3C" w:rsidRPr="005E1F3C" w:rsidRDefault="005E1F3C" w:rsidP="005E1F3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марта 2006 г. № 35-ФЗ «О противодействии терроризму», Федеральным законом от 6 октября 2003 г. № 131-ФЗ «Об общих принципах организации местного самоуправления в Российской Федерации», постановлением Исполнительного комитета Тюлячинского муниципального района Республики Татарстан от 22.12.2017 г. №791 «Об утверждении муниципальной программы «Профилактика терроризма и экстремизма в </w:t>
      </w:r>
      <w:proofErr w:type="spellStart"/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2018-2020 годы»,</w:t>
      </w:r>
      <w:proofErr w:type="gramEnd"/>
    </w:p>
    <w:p w:rsidR="005E1F3C" w:rsidRPr="005E1F3C" w:rsidRDefault="005E1F3C" w:rsidP="005E1F3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3C" w:rsidRPr="005E1F3C" w:rsidRDefault="005E1F3C" w:rsidP="005E1F3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E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E1F3C" w:rsidRPr="005E1F3C" w:rsidRDefault="005E1F3C" w:rsidP="005E1F3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F3C" w:rsidRPr="005E1F3C" w:rsidRDefault="005E1F3C" w:rsidP="005E1F3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Утвердить план мероприятий по профилактики терроризма и экстремизма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Тюлячинского муниципального района Республики Татарстан на 2018 год согласно приложению.</w:t>
      </w:r>
    </w:p>
    <w:p w:rsidR="005E1F3C" w:rsidRPr="005E1F3C" w:rsidRDefault="005E1F3C" w:rsidP="005E1F3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настоящее постановление на информационных стендах, а также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сети « Интернет».</w:t>
      </w:r>
    </w:p>
    <w:p w:rsidR="005E1F3C" w:rsidRPr="005E1F3C" w:rsidRDefault="005E1F3C" w:rsidP="005E1F3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E1F3C" w:rsidRPr="005E1F3C" w:rsidRDefault="005E1F3C" w:rsidP="005E1F3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02" w:rsidRPr="00C86FEE" w:rsidRDefault="00F26302" w:rsidP="00F26302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02" w:rsidRDefault="00F26302" w:rsidP="00F2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F26302" w:rsidRDefault="00F26302" w:rsidP="00F2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6302" w:rsidSect="00B02FE0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26302" w:rsidRPr="00C86FEE" w:rsidRDefault="00F26302" w:rsidP="00F2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02" w:rsidRPr="00B02FE0" w:rsidRDefault="00F26302" w:rsidP="00F26302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Главы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 муниципального района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5E1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4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4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302" w:rsidRPr="00B221C3" w:rsidRDefault="00F26302" w:rsidP="00F26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профилактики терроризма и экстремизма в </w:t>
      </w:r>
      <w:proofErr w:type="spellStart"/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Старозюринском</w:t>
      </w:r>
      <w:proofErr w:type="spellEnd"/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Тюлячинского </w:t>
      </w:r>
      <w:proofErr w:type="gramStart"/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Татарстан на 201</w:t>
      </w:r>
      <w:r w:rsidR="0004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6302" w:rsidRPr="00B221C3" w:rsidRDefault="00F26302" w:rsidP="00F26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302" w:rsidRPr="00B221C3" w:rsidRDefault="00F26302" w:rsidP="00F263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Муниципальное образование «</w:t>
      </w:r>
      <w:proofErr w:type="spellStart"/>
      <w:r w:rsidRPr="00B22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Старозюринское</w:t>
      </w:r>
      <w:proofErr w:type="spellEnd"/>
      <w:r w:rsidRPr="00B221C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сельское поселение» Тюлячинского муниципального района Республики Татарстан</w:t>
      </w:r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образовано в соответствии с Уставом</w:t>
      </w:r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наделено статусом  муниципального образования. В сельское поселение входят следующие населенные пункты: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тарые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Зюри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д.Большие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Тюлязи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д.Кара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-Ширма,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д.Урумширма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д.Новые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Зюри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д.Алан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Зире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26302" w:rsidRPr="00B221C3" w:rsidRDefault="00F26302" w:rsidP="00F263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1C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Муниципальное образование «</w:t>
      </w:r>
      <w:proofErr w:type="spellStart"/>
      <w:r w:rsidRPr="00B22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Старозюринское</w:t>
      </w:r>
      <w:proofErr w:type="spellEnd"/>
      <w:r w:rsidRPr="00B22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21C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сельское поселение</w:t>
      </w:r>
      <w:r w:rsidRPr="00B22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гран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ичит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Узякскими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Баландышскими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Сатышевскими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сельскими поселениями и граничит с </w:t>
      </w:r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муниципальных районов:</w:t>
      </w:r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  <w:proofErr w:type="gramEnd"/>
    </w:p>
    <w:p w:rsidR="00F26302" w:rsidRPr="00B221C3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Численность постоянного населения по состоянию  на 01.01.201</w:t>
      </w:r>
      <w:r w:rsidR="00042E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B22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составляет 107</w:t>
      </w:r>
      <w:r w:rsidR="00042E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B22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человек. Состав населения по национальности: русские, башкиры, украинцы, туркмены, узбеки, таджики. На территории расположены:</w:t>
      </w:r>
    </w:p>
    <w:p w:rsidR="00F26302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6F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Школы:</w:t>
      </w:r>
    </w:p>
    <w:p w:rsidR="00F26302" w:rsidRPr="000C680D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B02F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Pr="00B221C3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тарозюринская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средняя общеобразовательная </w:t>
      </w:r>
    </w:p>
    <w:p w:rsidR="00F26302" w:rsidRPr="000C680D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школа Тюлячинского </w:t>
      </w:r>
      <w:proofErr w:type="gram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Республике Татарстан.</w:t>
      </w:r>
    </w:p>
    <w:p w:rsidR="00F26302" w:rsidRPr="000C680D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Юридический адрес:  422091, РТ, Тюлячинский район,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тарые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Зюри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ул.Школьная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д.3А; директор-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Назклычев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Салават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сатлыкович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65 ученика; проектом   предусмотрено 100 учеников ИНН 1619002894.</w:t>
      </w:r>
    </w:p>
    <w:p w:rsidR="00F26302" w:rsidRPr="000C680D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Филиал МБО</w:t>
      </w:r>
      <w:proofErr w:type="gram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Старозюринская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Тюлячинского муниципального района Республике Татарстан  «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Большетюлязинская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начальная школа». </w:t>
      </w:r>
    </w:p>
    <w:p w:rsidR="00F26302" w:rsidRPr="00422EFB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422091, РТ, Тюлячинский район, </w:t>
      </w:r>
      <w:proofErr w:type="spellStart"/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ольшие</w:t>
      </w:r>
      <w:proofErr w:type="spellEnd"/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Тюлязи</w:t>
      </w:r>
      <w:proofErr w:type="spellEnd"/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д.22А; директор- </w:t>
      </w:r>
      <w:r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Хайруллина </w:t>
      </w:r>
      <w:proofErr w:type="spellStart"/>
      <w:r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Марсиля</w:t>
      </w:r>
      <w:proofErr w:type="spellEnd"/>
      <w:r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Миннеахметовна</w:t>
      </w:r>
      <w:proofErr w:type="spellEnd"/>
      <w:r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7 ученика; проектом предусмотрено 15 учеников, ИНН1619002894.</w:t>
      </w:r>
    </w:p>
    <w:p w:rsidR="00F26302" w:rsidRPr="00FE5E52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Филиал МБОУ </w:t>
      </w:r>
      <w:proofErr w:type="spell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Старозюринская</w:t>
      </w:r>
      <w:proofErr w:type="spell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Тюлячинского </w:t>
      </w:r>
      <w:proofErr w:type="gram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Республике Татарстан  «</w:t>
      </w:r>
      <w:proofErr w:type="spell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Урумширминская</w:t>
      </w:r>
      <w:proofErr w:type="spell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начальная школа».</w:t>
      </w:r>
    </w:p>
    <w:p w:rsidR="00F26302" w:rsidRPr="00FE5E52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422091, РТ, Тюлячинский район, </w:t>
      </w:r>
      <w:proofErr w:type="spell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румширма</w:t>
      </w:r>
      <w:proofErr w:type="spell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ул.Верхняя</w:t>
      </w:r>
      <w:proofErr w:type="spell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д.21А,  директор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Бариева</w:t>
      </w:r>
      <w:proofErr w:type="spellEnd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Рамзия</w:t>
      </w:r>
      <w:proofErr w:type="spellEnd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Гусмановна</w:t>
      </w:r>
      <w:proofErr w:type="spell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 ученика, проектом  предусмотрено 20 ученик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ов,</w:t>
      </w:r>
      <w:r w:rsidRPr="00CB4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ИНН </w:t>
      </w: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1619002894.</w:t>
      </w:r>
    </w:p>
    <w:p w:rsidR="00F26302" w:rsidRPr="006B39CF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Детский сад</w:t>
      </w:r>
      <w:proofErr w:type="gramStart"/>
      <w:r w:rsidRPr="003C2E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proofErr w:type="gram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дошкольное образовательное учреждения - </w:t>
      </w:r>
      <w:proofErr w:type="spell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Старозюринский</w:t>
      </w:r>
      <w:proofErr w:type="spell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Тюлячинского муниципального района Республики Татарстан</w:t>
      </w:r>
    </w:p>
    <w:p w:rsidR="00F26302" w:rsidRPr="003C2E2C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Юридический адрес</w:t>
      </w:r>
      <w:r w:rsidRPr="003C2E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 </w:t>
      </w:r>
      <w:r w:rsidRPr="003C2E2C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422091, Республика Татарстан, Тюлячинский район, с. Старые </w:t>
      </w:r>
      <w:proofErr w:type="spellStart"/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Зюри</w:t>
      </w:r>
      <w:proofErr w:type="spellEnd"/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, ул. Школьная, д. 2А</w:t>
      </w:r>
      <w:proofErr w:type="gramStart"/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;</w:t>
      </w:r>
      <w:proofErr w:type="gramEnd"/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заведующий  </w:t>
      </w:r>
      <w:proofErr w:type="spellStart"/>
      <w:r w:rsidR="005E1F3C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Нигъматуллина</w:t>
      </w:r>
      <w:proofErr w:type="spellEnd"/>
      <w:r w:rsidR="005E1F3C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 xml:space="preserve"> Лейсан </w:t>
      </w:r>
      <w:proofErr w:type="spellStart"/>
      <w:r w:rsidR="005E1F3C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Ильгизаровна</w:t>
      </w:r>
      <w:proofErr w:type="spellEnd"/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,  28 воспитанников; проектом  предусмотрено 35, ИНН 1619002510</w:t>
      </w:r>
    </w:p>
    <w:p w:rsidR="00F26302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Религиозные объекты:</w:t>
      </w:r>
    </w:p>
    <w:p w:rsidR="00F26302" w:rsidRPr="006B39CF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E2C">
        <w:rPr>
          <w:rFonts w:ascii="Times New Roman" w:eastAsia="Calibri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Местная мусульманская религиозная организация –Приход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тарые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Зюри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Тюлячинского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Мухтасибата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централизованной религиозной организации – Духовного управления мусульман Республики Татарстан.  </w:t>
      </w:r>
    </w:p>
    <w:p w:rsidR="00F26302" w:rsidRPr="006B39CF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</w:t>
      </w:r>
      <w:r w:rsidRPr="006B39CF">
        <w:rPr>
          <w:rFonts w:ascii="Calibri" w:eastAsia="Times New Roman" w:hAnsi="Calibri" w:cs="Times New Roman"/>
          <w:b/>
          <w:i/>
          <w:lang w:eastAsia="ru-RU"/>
        </w:rPr>
        <w:t xml:space="preserve">,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Тюлячинский район, с. Старые </w:t>
      </w:r>
      <w:proofErr w:type="spell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18А, има</w:t>
      </w:r>
      <w:proofErr w:type="gram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хатыйб</w:t>
      </w:r>
      <w:proofErr w:type="spell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Фаляхиев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Мухаммат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Юсупович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вместимость 100 человек,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1919004563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26302" w:rsidRPr="006B39CF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Местная мусульманская религиозная организация –Приход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ольшие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Тюлязи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Мухтасибата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централизованной религиозной организации-Духовного управления мусульман Республики Татарстан.</w:t>
      </w:r>
    </w:p>
    <w:p w:rsidR="00F26302" w:rsidRPr="006B39CF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422091,</w:t>
      </w:r>
      <w:r w:rsidRPr="006B39CF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Тюлячинский район, д. Большие </w:t>
      </w:r>
      <w:proofErr w:type="spell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Тюлязи</w:t>
      </w:r>
      <w:proofErr w:type="spell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22Б, има</w:t>
      </w:r>
      <w:proofErr w:type="gram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хатыйб</w:t>
      </w:r>
      <w:proofErr w:type="spell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Хайруллин Рафик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Тимерханович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вместимость 100 человек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ИНН 1919002301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26302" w:rsidRPr="006B39CF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Местная мусульманская религиозная организация –Приход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араширма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Мухтасибата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централизованный религиозной организации -Духовного управления мусульман Республики Татарстан .</w:t>
      </w:r>
    </w:p>
    <w:p w:rsidR="00F26302" w:rsidRPr="006B39CF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422091,</w:t>
      </w:r>
      <w:r w:rsidRPr="006B39CF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Тюлячинский район, д. Кара-Ширма, ул. Большая дорога, д. 6Б, </w:t>
      </w:r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Курбанов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Рашит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Курбанович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вместимость 70 человек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 1919003866</w:t>
      </w:r>
    </w:p>
    <w:p w:rsidR="00F26302" w:rsidRPr="00B221C3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екты культуры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F26302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1.Муниципальное бюджетное учреждение «</w:t>
      </w:r>
      <w:proofErr w:type="spellStart"/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Старозюринский</w:t>
      </w:r>
      <w:proofErr w:type="spellEnd"/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сельский дом культуры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» Тюлячинского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района Республики Татарстан.</w:t>
      </w:r>
    </w:p>
    <w:p w:rsidR="00F26302" w:rsidRPr="00E9432D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E9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422091, Республика Татарстан, Тюлячинский район, с. Старые </w:t>
      </w:r>
      <w:proofErr w:type="spellStart"/>
      <w:r w:rsidRPr="00E9432D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E94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 1А,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асибуллин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Равиль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Мосавирович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вместимость </w:t>
      </w:r>
      <w:r w:rsidRPr="00E943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150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человек, ИНН 1619003560.</w:t>
      </w:r>
    </w:p>
    <w:p w:rsidR="00F26302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2.Муниципальное бюджетное учреждение «</w:t>
      </w:r>
      <w:proofErr w:type="spellStart"/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Большетюлязинский</w:t>
      </w:r>
      <w:proofErr w:type="spellEnd"/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65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Тюлячинского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района Республики Татарстан.</w:t>
      </w:r>
    </w:p>
    <w:p w:rsidR="00F26302" w:rsidRPr="00B221C3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</w:t>
      </w:r>
      <w:proofErr w:type="spell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gram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.Б</w:t>
      </w:r>
      <w:proofErr w:type="gram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ольшие</w:t>
      </w:r>
      <w:proofErr w:type="spell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Тюлязи</w:t>
      </w:r>
      <w:proofErr w:type="spell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ул. Центральная, д. 22А,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заведующей – </w:t>
      </w:r>
      <w:proofErr w:type="spellStart"/>
      <w:r w:rsidRPr="00085A05">
        <w:rPr>
          <w:rFonts w:ascii="Calibri" w:eastAsia="Times New Roman" w:hAnsi="Calibri" w:cs="Times New Roman"/>
          <w:b/>
          <w:sz w:val="28"/>
          <w:szCs w:val="28"/>
          <w:lang w:eastAsia="ru-RU"/>
        </w:rPr>
        <w:t>Сахабиева</w:t>
      </w:r>
      <w:proofErr w:type="spellEnd"/>
      <w:r w:rsidRPr="00085A0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5A05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Разиля</w:t>
      </w:r>
      <w:proofErr w:type="spellEnd"/>
      <w:r w:rsidRPr="00085A0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5A05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Раифовна</w:t>
      </w:r>
      <w:proofErr w:type="spellEnd"/>
      <w:r w:rsidRPr="00085A0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вместимость 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100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человек,</w:t>
      </w:r>
      <w:r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ИНН 1619003560.</w:t>
      </w:r>
    </w:p>
    <w:p w:rsidR="00F26302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3.Муниципальное бюджетное учреждение «</w:t>
      </w:r>
      <w:proofErr w:type="spellStart"/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Караширминский</w:t>
      </w:r>
      <w:proofErr w:type="spellEnd"/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Тюлячинского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района Республики Татарстан.</w:t>
      </w:r>
    </w:p>
    <w:p w:rsidR="00F26302" w:rsidRPr="00B221C3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</w:t>
      </w:r>
      <w:proofErr w:type="spell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gram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.К</w:t>
      </w:r>
      <w:proofErr w:type="gram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ара</w:t>
      </w:r>
      <w:proofErr w:type="spell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-Ширма, ул. Большая дорога, д. 10Б,</w:t>
      </w:r>
      <w:r w:rsidRPr="00CB409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заведующей- </w:t>
      </w:r>
      <w:proofErr w:type="spellStart"/>
      <w:r w:rsidR="00085A05" w:rsidRPr="00085A05">
        <w:rPr>
          <w:rFonts w:ascii="Calibri" w:eastAsia="Times New Roman" w:hAnsi="Calibri" w:cs="Times New Roman"/>
          <w:b/>
          <w:sz w:val="28"/>
          <w:szCs w:val="28"/>
          <w:lang w:eastAsia="ru-RU"/>
        </w:rPr>
        <w:t>Шигапова</w:t>
      </w:r>
      <w:proofErr w:type="spellEnd"/>
      <w:r w:rsidR="00085A05" w:rsidRPr="00085A0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Лейсан </w:t>
      </w:r>
      <w:proofErr w:type="spellStart"/>
      <w:r w:rsidR="00085A05" w:rsidRPr="00085A05">
        <w:rPr>
          <w:rFonts w:ascii="Calibri" w:eastAsia="Times New Roman" w:hAnsi="Calibri" w:cs="Times New Roman"/>
          <w:b/>
          <w:sz w:val="28"/>
          <w:szCs w:val="28"/>
          <w:lang w:eastAsia="ru-RU"/>
        </w:rPr>
        <w:t>Гумаровна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вместимость 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50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человек,</w:t>
      </w:r>
      <w:r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ИНН 1619003560.</w:t>
      </w:r>
    </w:p>
    <w:p w:rsidR="00F26302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4.Муниципальное бюджетное учреждение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Тюлячинская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межпоселенсечкая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библиотека» Тюлячинского муниципального  района Республики Татарстан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тарозюринская</w:t>
      </w:r>
      <w:proofErr w:type="spellEnd"/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сельская библиотека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6302" w:rsidRPr="00B221C3" w:rsidRDefault="00F26302" w:rsidP="00F26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с. Старые </w:t>
      </w:r>
      <w:proofErr w:type="spell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Зюри</w:t>
      </w:r>
      <w:proofErr w:type="spell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, ул. Школьная, д. 1А</w:t>
      </w:r>
      <w:proofErr w:type="gram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б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иблиотекарь – </w:t>
      </w:r>
      <w:proofErr w:type="spellStart"/>
      <w:r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>Гильмутдинова</w:t>
      </w:r>
      <w:proofErr w:type="spellEnd"/>
      <w:r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>Рузалия</w:t>
      </w:r>
      <w:proofErr w:type="spellEnd"/>
      <w:r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>Шайдулловна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вместимость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человек,</w:t>
      </w:r>
      <w:r w:rsidRPr="00B221C3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ИНН 1619003320.</w:t>
      </w:r>
    </w:p>
    <w:p w:rsidR="00F26302" w:rsidRPr="00085A05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201</w:t>
      </w:r>
      <w:r w:rsidR="00042E6A" w:rsidRPr="00042E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E11F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 совершено на территории </w:t>
      </w:r>
      <w:r w:rsidR="00085A05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преступления. Статья </w:t>
      </w:r>
      <w:r w:rsidR="00085A05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222 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ч.</w:t>
      </w:r>
      <w:r w:rsidR="00085A05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</w:t>
      </w:r>
      <w:r w:rsidR="00085A05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шт., статья </w:t>
      </w:r>
      <w:r w:rsidR="00085A05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 ч.2 -1шт.</w:t>
      </w:r>
      <w:r w:rsidR="00085A05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статья 158 ч.1-1шт.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26302" w:rsidRPr="00085A05" w:rsidRDefault="00F26302" w:rsidP="00F263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Количество жилых домов: 310, количество пустующих домов по состоянию на 01.</w:t>
      </w:r>
      <w:r w:rsidR="005E1F3C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01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</w:t>
      </w:r>
      <w:r w:rsidR="005E1F3C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г.: 46, количество пустующих хозяйственных построек по состоянию на 01.</w:t>
      </w:r>
      <w:r w:rsidR="005E1F3C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01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</w:t>
      </w:r>
      <w:r w:rsidR="005E1F3C"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085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г.: не имеется.</w:t>
      </w:r>
    </w:p>
    <w:p w:rsidR="00F26302" w:rsidRDefault="00F26302" w:rsidP="00F2630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6302" w:rsidSect="00B02FE0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086"/>
        <w:gridCol w:w="2225"/>
        <w:gridCol w:w="4375"/>
        <w:gridCol w:w="2180"/>
      </w:tblGrid>
      <w:tr w:rsidR="00F26302" w:rsidRPr="00E11FD1" w:rsidTr="00910D8D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№</w:t>
            </w:r>
          </w:p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26302" w:rsidRPr="00E11FD1" w:rsidTr="00910D8D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филиал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(по отдельному плану мероприятий на территории СП)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члены ДНД,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Тюлячинская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Изготовление, размножение средств наружной информации и наглядной агитации (плакаты,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листовки, календари) антитеррористической направленности, развития веротерпимости 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Разработка памяток для населения 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 на заседании Совета сельского поселения вопросов межнациональных и межконфессиональных отношений, работы по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организация (по согласованию), филиал МБУ «РДК» (по согласованию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26302" w:rsidRPr="00E11FD1" w:rsidTr="00910D8D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III. Выполнение решений Антитеррористической комиссии в Республики Татарстан, </w:t>
            </w:r>
          </w:p>
          <w:p w:rsidR="00F26302" w:rsidRPr="00E11FD1" w:rsidRDefault="00F26302" w:rsidP="00910D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Антитеррористической комиссии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F26302" w:rsidRPr="00E11FD1" w:rsidTr="00910D8D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</w:t>
            </w: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</w:t>
            </w:r>
            <w:r w:rsidRPr="00E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Антитеррористической комиссии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плану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заседаний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IV</w:t>
            </w: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Профилактика и предупреждение терроризма и экстремистских проявлений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поручений Антитеррористической комиссии района, правоохранительных органов в пределах компетенции</w:t>
            </w:r>
            <w:r w:rsidRPr="00E11FD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лиц, отнесенных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поручениям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V</w:t>
            </w: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I. Оценка состояния антитеррористической защищенности</w:t>
            </w:r>
          </w:p>
        </w:tc>
      </w:tr>
      <w:tr w:rsidR="00F26302" w:rsidRPr="00E11FD1" w:rsidTr="00910D8D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Майские праздники (1 и 9 мая), татарский национальный праздник Сабантуй (июнь), День Республики Татарстан, День знаний, Новогодние и рождественские 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члены ДНД,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Проведение тренировок по эвакуации людей в случае угрозы террористического акта:</w:t>
            </w:r>
          </w:p>
          <w:p w:rsidR="00F26302" w:rsidRPr="00E11FD1" w:rsidRDefault="00F26302" w:rsidP="00910D8D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учреждения;</w:t>
            </w:r>
          </w:p>
          <w:p w:rsidR="00F26302" w:rsidRPr="00E11FD1" w:rsidRDefault="00F26302" w:rsidP="00910D8D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торговля;</w:t>
            </w:r>
          </w:p>
          <w:p w:rsidR="00F26302" w:rsidRPr="00E11FD1" w:rsidRDefault="00F26302" w:rsidP="00910D8D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культурно-массовые объекты.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сентябрь 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руководители учреждений,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подразделение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26302" w:rsidRPr="00E11FD1" w:rsidTr="00910D8D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302" w:rsidRPr="00E11FD1" w:rsidTr="00910D8D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совместных мероприятиях с оперативной группой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оперативной группы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2" w:rsidRPr="00E11FD1" w:rsidTr="00910D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02" w:rsidRPr="00E11FD1" w:rsidRDefault="00F26302" w:rsidP="00910D8D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6302" w:rsidRPr="00E11FD1" w:rsidRDefault="00F26302" w:rsidP="00F263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302" w:rsidRPr="00E11FD1" w:rsidRDefault="00F26302" w:rsidP="00F263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плана:</w:t>
      </w:r>
    </w:p>
    <w:p w:rsidR="00F26302" w:rsidRPr="00E11FD1" w:rsidRDefault="00F26302" w:rsidP="00F263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F26302" w:rsidRPr="00E11FD1" w:rsidRDefault="00F26302" w:rsidP="00F263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эффективности муниципальной системы профилактики терроризма и экстремизма;</w:t>
      </w:r>
    </w:p>
    <w:p w:rsidR="00F26302" w:rsidRPr="00E11FD1" w:rsidRDefault="00F26302" w:rsidP="00F263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F26302" w:rsidRPr="00E11FD1" w:rsidRDefault="00F26302" w:rsidP="00F263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F26302" w:rsidRPr="00E11FD1" w:rsidRDefault="00F26302" w:rsidP="00F26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и выражается:</w:t>
      </w:r>
    </w:p>
    <w:p w:rsidR="00F26302" w:rsidRPr="00E11FD1" w:rsidRDefault="00F26302" w:rsidP="00F26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улучшении этнокультурного и социального самочувствия;</w:t>
      </w:r>
    </w:p>
    <w:p w:rsidR="00F26302" w:rsidRPr="00E11FD1" w:rsidRDefault="00F26302" w:rsidP="00F26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укреплении региональной и общероссийской гражданской идентичности;</w:t>
      </w:r>
    </w:p>
    <w:p w:rsidR="00F26302" w:rsidRPr="00E11FD1" w:rsidRDefault="00F26302" w:rsidP="00F26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росте эффективности использования этнокультурного потенциала;</w:t>
      </w:r>
    </w:p>
    <w:p w:rsidR="00F26302" w:rsidRPr="00E11FD1" w:rsidRDefault="00F26302" w:rsidP="00F26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предотвращении межнациональных и межрелигиозных конфликтов;</w:t>
      </w:r>
    </w:p>
    <w:p w:rsidR="00F26302" w:rsidRPr="00E11FD1" w:rsidRDefault="00F26302" w:rsidP="00F26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росте инвестиционной и туристической привлекательности региона;</w:t>
      </w:r>
    </w:p>
    <w:p w:rsidR="00F26302" w:rsidRPr="00E11FD1" w:rsidRDefault="00F26302" w:rsidP="00F263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системы мер, направленных на совершенствование социальной и культурной адаптации и интеграции мигрантов.</w:t>
      </w:r>
    </w:p>
    <w:p w:rsidR="00F26302" w:rsidRPr="00E11FD1" w:rsidRDefault="00F26302" w:rsidP="00F2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02" w:rsidRPr="00E11FD1" w:rsidRDefault="00F26302" w:rsidP="00F2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02" w:rsidRDefault="00F26302" w:rsidP="00F26302"/>
    <w:p w:rsidR="00376AF8" w:rsidRDefault="00376AF8" w:rsidP="00F26302">
      <w:pPr>
        <w:spacing w:after="0" w:line="240" w:lineRule="auto"/>
        <w:jc w:val="center"/>
      </w:pPr>
    </w:p>
    <w:sectPr w:rsidR="00376AF8" w:rsidSect="00F263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0"/>
    <w:rsid w:val="00042E6A"/>
    <w:rsid w:val="00085A05"/>
    <w:rsid w:val="00376AF8"/>
    <w:rsid w:val="004239E0"/>
    <w:rsid w:val="005E1F3C"/>
    <w:rsid w:val="00920C0F"/>
    <w:rsid w:val="00F2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2018-01-31T11:50:00Z</cp:lastPrinted>
  <dcterms:created xsi:type="dcterms:W3CDTF">2018-01-26T11:10:00Z</dcterms:created>
  <dcterms:modified xsi:type="dcterms:W3CDTF">2018-01-31T11:50:00Z</dcterms:modified>
</cp:coreProperties>
</file>